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B3B0C">
      <w:pPr>
        <w:snapToGrid w:val="0"/>
        <w:spacing w:line="594" w:lineRule="exact"/>
        <w:jc w:val="center"/>
        <w:rPr>
          <w:rFonts w:eastAsia="方正小标宋简体"/>
          <w:sz w:val="32"/>
          <w:szCs w:val="32"/>
        </w:rPr>
      </w:pPr>
      <w:r>
        <w:rPr>
          <w:rFonts w:hint="eastAsia" w:eastAsia="方正小标宋简体"/>
          <w:sz w:val="32"/>
          <w:szCs w:val="32"/>
        </w:rPr>
        <w:t>202</w:t>
      </w:r>
      <w:r>
        <w:rPr>
          <w:rFonts w:hint="eastAsia" w:eastAsiaTheme="minorEastAsia"/>
          <w:sz w:val="32"/>
          <w:szCs w:val="32"/>
          <w:lang w:val="en-US" w:eastAsia="zh-CN"/>
        </w:rPr>
        <w:t>6</w:t>
      </w:r>
      <w:r>
        <w:rPr>
          <w:rFonts w:hint="eastAsia" w:eastAsia="方正小标宋简体"/>
          <w:sz w:val="32"/>
          <w:szCs w:val="32"/>
        </w:rPr>
        <w:t>年福州市商</w:t>
      </w:r>
      <w:r>
        <w:rPr>
          <w:rFonts w:eastAsia="方正小标宋简体"/>
          <w:sz w:val="32"/>
          <w:szCs w:val="32"/>
        </w:rPr>
        <w:t>用燃气</w:t>
      </w:r>
      <w:r>
        <w:rPr>
          <w:rFonts w:hint="eastAsia" w:eastAsia="方正小标宋简体"/>
          <w:sz w:val="32"/>
          <w:szCs w:val="32"/>
          <w:lang w:val="en-US" w:eastAsia="zh-CN"/>
        </w:rPr>
        <w:t>燃烧器具</w:t>
      </w:r>
      <w:bookmarkStart w:id="0" w:name="_GoBack"/>
      <w:bookmarkEnd w:id="0"/>
      <w:r>
        <w:rPr>
          <w:rFonts w:hint="eastAsia" w:eastAsia="方正小标宋简体"/>
          <w:sz w:val="32"/>
          <w:szCs w:val="32"/>
        </w:rPr>
        <w:t>质量监督抽查实施细则</w:t>
      </w:r>
    </w:p>
    <w:p w14:paraId="445D9CDB">
      <w:pPr>
        <w:snapToGrid w:val="0"/>
        <w:spacing w:line="440" w:lineRule="exact"/>
        <w:rPr>
          <w:rFonts w:eastAsia="黑体"/>
          <w:szCs w:val="21"/>
        </w:rPr>
      </w:pPr>
    </w:p>
    <w:p w14:paraId="6118901E">
      <w:pPr>
        <w:snapToGrid w:val="0"/>
        <w:spacing w:line="440" w:lineRule="exact"/>
        <w:rPr>
          <w:rFonts w:eastAsia="黑体"/>
          <w:szCs w:val="21"/>
        </w:rPr>
      </w:pPr>
      <w:r>
        <w:rPr>
          <w:rFonts w:eastAsia="黑体"/>
          <w:szCs w:val="21"/>
        </w:rPr>
        <w:t>1 抽样方法</w:t>
      </w:r>
    </w:p>
    <w:p w14:paraId="1E10611E">
      <w:pPr>
        <w:snapToGrid w:val="0"/>
        <w:spacing w:line="440" w:lineRule="exact"/>
        <w:ind w:firstLine="420" w:firstLineChars="200"/>
        <w:rPr>
          <w:szCs w:val="21"/>
        </w:rPr>
      </w:pPr>
      <w:r>
        <w:rPr>
          <w:szCs w:val="21"/>
        </w:rPr>
        <w:t>以随机抽样的方式在被抽样销售者的待销产品中抽取。</w:t>
      </w:r>
    </w:p>
    <w:p w14:paraId="3A7AD1C3">
      <w:pPr>
        <w:snapToGrid w:val="0"/>
        <w:spacing w:line="440" w:lineRule="exact"/>
        <w:ind w:firstLine="420" w:firstLineChars="200"/>
        <w:rPr>
          <w:szCs w:val="21"/>
        </w:rPr>
      </w:pPr>
      <w:r>
        <w:rPr>
          <w:szCs w:val="21"/>
        </w:rPr>
        <w:t>随机数一般可使用随机数表等方法产生。</w:t>
      </w:r>
    </w:p>
    <w:p w14:paraId="59F87EAA">
      <w:pPr>
        <w:snapToGrid w:val="0"/>
        <w:spacing w:line="440" w:lineRule="exact"/>
        <w:ind w:firstLine="420" w:firstLineChars="200"/>
      </w:pPr>
      <w:r>
        <w:rPr>
          <w:rFonts w:hint="eastAsia"/>
        </w:rPr>
        <w:t>每批次产品抽取样品</w:t>
      </w:r>
      <w:r>
        <w:t>1</w:t>
      </w:r>
      <w:r>
        <w:rPr>
          <w:rFonts w:hint="eastAsia"/>
        </w:rPr>
        <w:t>台作为检验样品，</w:t>
      </w:r>
      <w:r>
        <w:rPr>
          <w:rFonts w:hint="eastAsia" w:ascii="宋体" w:hAnsi="宋体" w:cs="宋体"/>
          <w:color w:val="000000"/>
        </w:rPr>
        <w:t>检验样品同时作为备用样品。</w:t>
      </w:r>
    </w:p>
    <w:p w14:paraId="73DC0E74">
      <w:pPr>
        <w:snapToGrid w:val="0"/>
        <w:spacing w:line="440" w:lineRule="exact"/>
        <w:rPr>
          <w:rFonts w:eastAsia="黑体"/>
          <w:color w:val="000000"/>
          <w:szCs w:val="21"/>
        </w:rPr>
      </w:pPr>
      <w:r>
        <w:rPr>
          <w:rFonts w:eastAsia="黑体"/>
          <w:color w:val="000000"/>
          <w:szCs w:val="21"/>
        </w:rPr>
        <w:t>2 检验依据</w:t>
      </w:r>
    </w:p>
    <w:p w14:paraId="2CEB9503">
      <w:pPr>
        <w:snapToGrid w:val="0"/>
        <w:spacing w:line="440" w:lineRule="exact"/>
        <w:rPr>
          <w:rFonts w:hint="eastAsia" w:eastAsia="黑体"/>
          <w:color w:val="000000"/>
          <w:szCs w:val="21"/>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2165"/>
        <w:gridCol w:w="3974"/>
        <w:gridCol w:w="2200"/>
      </w:tblGrid>
      <w:tr w14:paraId="4963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blHeader/>
          <w:jc w:val="center"/>
        </w:trPr>
        <w:tc>
          <w:tcPr>
            <w:tcW w:w="455" w:type="pct"/>
            <w:noWrap w:val="0"/>
            <w:vAlign w:val="top"/>
          </w:tcPr>
          <w:p w14:paraId="5A793F9A">
            <w:pPr>
              <w:snapToGrid w:val="0"/>
              <w:spacing w:line="300" w:lineRule="exact"/>
              <w:jc w:val="center"/>
              <w:rPr>
                <w:szCs w:val="21"/>
              </w:rPr>
            </w:pPr>
            <w:r>
              <w:rPr>
                <w:szCs w:val="21"/>
              </w:rPr>
              <w:t>序号</w:t>
            </w:r>
          </w:p>
        </w:tc>
        <w:tc>
          <w:tcPr>
            <w:tcW w:w="3346" w:type="pct"/>
            <w:gridSpan w:val="2"/>
            <w:noWrap w:val="0"/>
            <w:vAlign w:val="top"/>
          </w:tcPr>
          <w:p w14:paraId="6B58F308">
            <w:pPr>
              <w:snapToGrid w:val="0"/>
              <w:spacing w:line="300" w:lineRule="exact"/>
              <w:jc w:val="center"/>
              <w:rPr>
                <w:szCs w:val="21"/>
              </w:rPr>
            </w:pPr>
            <w:r>
              <w:rPr>
                <w:szCs w:val="21"/>
              </w:rPr>
              <w:t>检验项目</w:t>
            </w:r>
          </w:p>
        </w:tc>
        <w:tc>
          <w:tcPr>
            <w:tcW w:w="1199" w:type="pct"/>
            <w:noWrap w:val="0"/>
            <w:vAlign w:val="top"/>
          </w:tcPr>
          <w:p w14:paraId="0FD4571B">
            <w:pPr>
              <w:snapToGrid w:val="0"/>
              <w:spacing w:line="300" w:lineRule="exact"/>
              <w:jc w:val="center"/>
              <w:rPr>
                <w:szCs w:val="21"/>
              </w:rPr>
            </w:pPr>
            <w:r>
              <w:rPr>
                <w:szCs w:val="21"/>
              </w:rPr>
              <w:t>检验方法</w:t>
            </w:r>
          </w:p>
        </w:tc>
      </w:tr>
      <w:tr w14:paraId="5A20A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noWrap w:val="0"/>
            <w:vAlign w:val="center"/>
          </w:tcPr>
          <w:p w14:paraId="61C5F42F">
            <w:pPr>
              <w:snapToGrid w:val="0"/>
              <w:spacing w:line="300" w:lineRule="exact"/>
              <w:jc w:val="center"/>
              <w:rPr>
                <w:szCs w:val="21"/>
              </w:rPr>
            </w:pPr>
            <w:r>
              <w:rPr>
                <w:szCs w:val="21"/>
              </w:rPr>
              <w:t>1</w:t>
            </w:r>
          </w:p>
        </w:tc>
        <w:tc>
          <w:tcPr>
            <w:tcW w:w="1180" w:type="pct"/>
            <w:vMerge w:val="restart"/>
            <w:noWrap w:val="0"/>
            <w:vAlign w:val="center"/>
          </w:tcPr>
          <w:p w14:paraId="7B7C2D81">
            <w:pPr>
              <w:spacing w:line="300" w:lineRule="exact"/>
              <w:jc w:val="center"/>
              <w:rPr>
                <w:szCs w:val="21"/>
              </w:rPr>
            </w:pPr>
            <w:r>
              <w:rPr>
                <w:szCs w:val="21"/>
              </w:rPr>
              <w:t>通用结构</w:t>
            </w:r>
          </w:p>
        </w:tc>
        <w:tc>
          <w:tcPr>
            <w:tcW w:w="2166" w:type="pct"/>
            <w:noWrap w:val="0"/>
            <w:vAlign w:val="center"/>
          </w:tcPr>
          <w:p w14:paraId="0600C2C7">
            <w:pPr>
              <w:spacing w:line="300" w:lineRule="exact"/>
              <w:jc w:val="center"/>
              <w:rPr>
                <w:szCs w:val="21"/>
              </w:rPr>
            </w:pPr>
            <w:r>
              <w:rPr>
                <w:szCs w:val="21"/>
              </w:rPr>
              <w:t>一般要求</w:t>
            </w:r>
          </w:p>
        </w:tc>
        <w:tc>
          <w:tcPr>
            <w:tcW w:w="1199" w:type="pct"/>
            <w:noWrap w:val="0"/>
            <w:vAlign w:val="center"/>
          </w:tcPr>
          <w:p w14:paraId="40BF360A">
            <w:pPr>
              <w:snapToGrid w:val="0"/>
              <w:spacing w:line="300" w:lineRule="exact"/>
              <w:jc w:val="center"/>
              <w:rPr>
                <w:szCs w:val="21"/>
              </w:rPr>
            </w:pPr>
            <w:r>
              <w:rPr>
                <w:szCs w:val="21"/>
              </w:rPr>
              <w:t>GB 35848—2024</w:t>
            </w:r>
          </w:p>
        </w:tc>
      </w:tr>
      <w:tr w14:paraId="68F50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noWrap w:val="0"/>
            <w:vAlign w:val="center"/>
          </w:tcPr>
          <w:p w14:paraId="28174803">
            <w:pPr>
              <w:snapToGrid w:val="0"/>
              <w:spacing w:line="300" w:lineRule="exact"/>
              <w:jc w:val="center"/>
              <w:rPr>
                <w:szCs w:val="21"/>
              </w:rPr>
            </w:pPr>
            <w:r>
              <w:rPr>
                <w:szCs w:val="21"/>
              </w:rPr>
              <w:t>2</w:t>
            </w:r>
          </w:p>
        </w:tc>
        <w:tc>
          <w:tcPr>
            <w:tcW w:w="1180" w:type="pct"/>
            <w:vMerge w:val="continue"/>
            <w:noWrap w:val="0"/>
            <w:vAlign w:val="center"/>
          </w:tcPr>
          <w:p w14:paraId="4170C7F0">
            <w:pPr>
              <w:spacing w:line="300" w:lineRule="exact"/>
              <w:jc w:val="center"/>
              <w:rPr>
                <w:szCs w:val="21"/>
              </w:rPr>
            </w:pPr>
          </w:p>
        </w:tc>
        <w:tc>
          <w:tcPr>
            <w:tcW w:w="2166" w:type="pct"/>
            <w:noWrap w:val="0"/>
            <w:vAlign w:val="center"/>
          </w:tcPr>
          <w:p w14:paraId="501EC18A">
            <w:pPr>
              <w:spacing w:line="300" w:lineRule="exact"/>
              <w:jc w:val="center"/>
              <w:rPr>
                <w:szCs w:val="21"/>
              </w:rPr>
            </w:pPr>
            <w:r>
              <w:rPr>
                <w:szCs w:val="21"/>
              </w:rPr>
              <w:t>电气系统</w:t>
            </w:r>
          </w:p>
        </w:tc>
        <w:tc>
          <w:tcPr>
            <w:tcW w:w="1199" w:type="pct"/>
            <w:noWrap w:val="0"/>
            <w:vAlign w:val="center"/>
          </w:tcPr>
          <w:p w14:paraId="19788291">
            <w:pPr>
              <w:snapToGrid w:val="0"/>
              <w:spacing w:line="300" w:lineRule="exact"/>
              <w:jc w:val="center"/>
              <w:rPr>
                <w:szCs w:val="21"/>
              </w:rPr>
            </w:pPr>
            <w:r>
              <w:rPr>
                <w:szCs w:val="21"/>
              </w:rPr>
              <w:t>GB 35848—2024</w:t>
            </w:r>
          </w:p>
        </w:tc>
      </w:tr>
      <w:tr w14:paraId="61BD1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noWrap w:val="0"/>
            <w:vAlign w:val="center"/>
          </w:tcPr>
          <w:p w14:paraId="57AE8035">
            <w:pPr>
              <w:snapToGrid w:val="0"/>
              <w:spacing w:line="300" w:lineRule="exact"/>
              <w:jc w:val="center"/>
              <w:rPr>
                <w:szCs w:val="21"/>
              </w:rPr>
            </w:pPr>
            <w:r>
              <w:rPr>
                <w:szCs w:val="21"/>
              </w:rPr>
              <w:t>3</w:t>
            </w:r>
          </w:p>
        </w:tc>
        <w:tc>
          <w:tcPr>
            <w:tcW w:w="1180" w:type="pct"/>
            <w:noWrap w:val="0"/>
            <w:vAlign w:val="center"/>
          </w:tcPr>
          <w:p w14:paraId="1AF85A68">
            <w:pPr>
              <w:spacing w:line="300" w:lineRule="exact"/>
              <w:jc w:val="center"/>
              <w:rPr>
                <w:szCs w:val="21"/>
              </w:rPr>
            </w:pPr>
            <w:r>
              <w:rPr>
                <w:szCs w:val="21"/>
              </w:rPr>
              <w:t>燃气系统零部件</w:t>
            </w:r>
          </w:p>
        </w:tc>
        <w:tc>
          <w:tcPr>
            <w:tcW w:w="2166" w:type="pct"/>
            <w:noWrap w:val="0"/>
            <w:vAlign w:val="center"/>
          </w:tcPr>
          <w:p w14:paraId="2BCAB27C">
            <w:pPr>
              <w:spacing w:line="300" w:lineRule="exact"/>
              <w:jc w:val="center"/>
              <w:rPr>
                <w:szCs w:val="21"/>
              </w:rPr>
            </w:pPr>
            <w:r>
              <w:rPr>
                <w:szCs w:val="21"/>
              </w:rPr>
              <w:t>一般要求</w:t>
            </w:r>
          </w:p>
        </w:tc>
        <w:tc>
          <w:tcPr>
            <w:tcW w:w="1199" w:type="pct"/>
            <w:noWrap w:val="0"/>
            <w:vAlign w:val="center"/>
          </w:tcPr>
          <w:p w14:paraId="1179978C">
            <w:pPr>
              <w:snapToGrid w:val="0"/>
              <w:spacing w:line="300" w:lineRule="exact"/>
              <w:jc w:val="center"/>
              <w:rPr>
                <w:szCs w:val="21"/>
              </w:rPr>
            </w:pPr>
            <w:r>
              <w:rPr>
                <w:szCs w:val="21"/>
              </w:rPr>
              <w:t>GB 35848—2024</w:t>
            </w:r>
          </w:p>
        </w:tc>
      </w:tr>
      <w:tr w14:paraId="6139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noWrap w:val="0"/>
            <w:vAlign w:val="center"/>
          </w:tcPr>
          <w:p w14:paraId="02EC6251">
            <w:pPr>
              <w:snapToGrid w:val="0"/>
              <w:spacing w:line="300" w:lineRule="exact"/>
              <w:jc w:val="center"/>
              <w:rPr>
                <w:szCs w:val="21"/>
              </w:rPr>
            </w:pPr>
            <w:r>
              <w:rPr>
                <w:szCs w:val="21"/>
              </w:rPr>
              <w:t>4</w:t>
            </w:r>
          </w:p>
        </w:tc>
        <w:tc>
          <w:tcPr>
            <w:tcW w:w="3346" w:type="pct"/>
            <w:gridSpan w:val="2"/>
            <w:noWrap w:val="0"/>
            <w:vAlign w:val="center"/>
          </w:tcPr>
          <w:p w14:paraId="60106D52">
            <w:pPr>
              <w:spacing w:line="300" w:lineRule="exact"/>
              <w:jc w:val="center"/>
              <w:rPr>
                <w:szCs w:val="21"/>
              </w:rPr>
            </w:pPr>
            <w:r>
              <w:rPr>
                <w:szCs w:val="21"/>
              </w:rPr>
              <w:t>燃气系统密封性</w:t>
            </w:r>
          </w:p>
        </w:tc>
        <w:tc>
          <w:tcPr>
            <w:tcW w:w="1199" w:type="pct"/>
            <w:noWrap w:val="0"/>
            <w:vAlign w:val="center"/>
          </w:tcPr>
          <w:p w14:paraId="4727E75A">
            <w:pPr>
              <w:snapToGrid w:val="0"/>
              <w:spacing w:line="300" w:lineRule="exact"/>
              <w:jc w:val="center"/>
              <w:rPr>
                <w:szCs w:val="21"/>
              </w:rPr>
            </w:pPr>
            <w:r>
              <w:rPr>
                <w:szCs w:val="21"/>
              </w:rPr>
              <w:t>GB 35848—2024</w:t>
            </w:r>
          </w:p>
        </w:tc>
      </w:tr>
      <w:tr w14:paraId="20567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noWrap w:val="0"/>
            <w:vAlign w:val="center"/>
          </w:tcPr>
          <w:p w14:paraId="06E3072C">
            <w:pPr>
              <w:snapToGrid w:val="0"/>
              <w:spacing w:line="300" w:lineRule="exact"/>
              <w:jc w:val="center"/>
              <w:rPr>
                <w:szCs w:val="21"/>
              </w:rPr>
            </w:pPr>
            <w:r>
              <w:rPr>
                <w:szCs w:val="21"/>
              </w:rPr>
              <w:t>5</w:t>
            </w:r>
          </w:p>
        </w:tc>
        <w:tc>
          <w:tcPr>
            <w:tcW w:w="3346" w:type="pct"/>
            <w:gridSpan w:val="2"/>
            <w:noWrap w:val="0"/>
            <w:vAlign w:val="center"/>
          </w:tcPr>
          <w:p w14:paraId="43CCEFEE">
            <w:pPr>
              <w:spacing w:line="300" w:lineRule="exact"/>
              <w:jc w:val="center"/>
              <w:rPr>
                <w:szCs w:val="21"/>
              </w:rPr>
            </w:pPr>
            <w:r>
              <w:rPr>
                <w:szCs w:val="21"/>
              </w:rPr>
              <w:t>热负荷准确度</w:t>
            </w:r>
          </w:p>
        </w:tc>
        <w:tc>
          <w:tcPr>
            <w:tcW w:w="1199" w:type="pct"/>
            <w:noWrap w:val="0"/>
            <w:vAlign w:val="center"/>
          </w:tcPr>
          <w:p w14:paraId="19F031A6">
            <w:pPr>
              <w:snapToGrid w:val="0"/>
              <w:spacing w:line="300" w:lineRule="exact"/>
              <w:jc w:val="center"/>
              <w:rPr>
                <w:szCs w:val="21"/>
              </w:rPr>
            </w:pPr>
            <w:r>
              <w:rPr>
                <w:szCs w:val="21"/>
              </w:rPr>
              <w:t>GB 35848—2024</w:t>
            </w:r>
          </w:p>
        </w:tc>
      </w:tr>
      <w:tr w14:paraId="3E8C5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noWrap w:val="0"/>
            <w:vAlign w:val="center"/>
          </w:tcPr>
          <w:p w14:paraId="5746F501">
            <w:pPr>
              <w:snapToGrid w:val="0"/>
              <w:spacing w:line="300" w:lineRule="exact"/>
              <w:jc w:val="center"/>
              <w:rPr>
                <w:szCs w:val="21"/>
              </w:rPr>
            </w:pPr>
            <w:r>
              <w:rPr>
                <w:szCs w:val="21"/>
              </w:rPr>
              <w:t>6</w:t>
            </w:r>
          </w:p>
        </w:tc>
        <w:tc>
          <w:tcPr>
            <w:tcW w:w="1180" w:type="pct"/>
            <w:vMerge w:val="restart"/>
            <w:noWrap w:val="0"/>
            <w:vAlign w:val="center"/>
          </w:tcPr>
          <w:p w14:paraId="25F41A0B">
            <w:pPr>
              <w:spacing w:line="300" w:lineRule="exact"/>
              <w:jc w:val="center"/>
              <w:rPr>
                <w:szCs w:val="21"/>
              </w:rPr>
            </w:pPr>
            <w:r>
              <w:rPr>
                <w:szCs w:val="21"/>
              </w:rPr>
              <w:t>燃烧工况</w:t>
            </w:r>
          </w:p>
        </w:tc>
        <w:tc>
          <w:tcPr>
            <w:tcW w:w="2166" w:type="pct"/>
            <w:noWrap w:val="0"/>
            <w:vAlign w:val="center"/>
          </w:tcPr>
          <w:p w14:paraId="4E369F82">
            <w:pPr>
              <w:spacing w:line="300" w:lineRule="exact"/>
              <w:jc w:val="center"/>
              <w:rPr>
                <w:szCs w:val="21"/>
              </w:rPr>
            </w:pPr>
            <w:r>
              <w:rPr>
                <w:szCs w:val="21"/>
              </w:rPr>
              <w:t>运行噪声</w:t>
            </w:r>
          </w:p>
        </w:tc>
        <w:tc>
          <w:tcPr>
            <w:tcW w:w="1199" w:type="pct"/>
            <w:noWrap w:val="0"/>
            <w:vAlign w:val="center"/>
          </w:tcPr>
          <w:p w14:paraId="4F79066D">
            <w:pPr>
              <w:snapToGrid w:val="0"/>
              <w:spacing w:line="300" w:lineRule="exact"/>
              <w:jc w:val="center"/>
              <w:rPr>
                <w:szCs w:val="21"/>
              </w:rPr>
            </w:pPr>
            <w:r>
              <w:rPr>
                <w:szCs w:val="21"/>
              </w:rPr>
              <w:t>GB 35848—2024</w:t>
            </w:r>
          </w:p>
        </w:tc>
      </w:tr>
      <w:tr w14:paraId="74D1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noWrap w:val="0"/>
            <w:vAlign w:val="center"/>
          </w:tcPr>
          <w:p w14:paraId="2CD6C037">
            <w:pPr>
              <w:snapToGrid w:val="0"/>
              <w:spacing w:line="300" w:lineRule="exact"/>
              <w:jc w:val="center"/>
              <w:rPr>
                <w:szCs w:val="21"/>
              </w:rPr>
            </w:pPr>
            <w:r>
              <w:rPr>
                <w:szCs w:val="21"/>
              </w:rPr>
              <w:t>7</w:t>
            </w:r>
          </w:p>
        </w:tc>
        <w:tc>
          <w:tcPr>
            <w:tcW w:w="1180" w:type="pct"/>
            <w:vMerge w:val="continue"/>
            <w:noWrap w:val="0"/>
            <w:vAlign w:val="center"/>
          </w:tcPr>
          <w:p w14:paraId="6E7C06BC">
            <w:pPr>
              <w:spacing w:line="300" w:lineRule="exact"/>
              <w:jc w:val="center"/>
              <w:rPr>
                <w:szCs w:val="21"/>
              </w:rPr>
            </w:pPr>
          </w:p>
        </w:tc>
        <w:tc>
          <w:tcPr>
            <w:tcW w:w="2166" w:type="pct"/>
            <w:noWrap w:val="0"/>
            <w:vAlign w:val="center"/>
          </w:tcPr>
          <w:p w14:paraId="10EAE6CB">
            <w:pPr>
              <w:spacing w:line="300" w:lineRule="exact"/>
              <w:jc w:val="center"/>
              <w:rPr>
                <w:szCs w:val="21"/>
              </w:rPr>
            </w:pPr>
            <w:r>
              <w:rPr>
                <w:szCs w:val="21"/>
              </w:rPr>
              <w:t>熄火噪声</w:t>
            </w:r>
          </w:p>
        </w:tc>
        <w:tc>
          <w:tcPr>
            <w:tcW w:w="1199" w:type="pct"/>
            <w:noWrap w:val="0"/>
            <w:vAlign w:val="center"/>
          </w:tcPr>
          <w:p w14:paraId="1B2A6388">
            <w:pPr>
              <w:snapToGrid w:val="0"/>
              <w:spacing w:line="300" w:lineRule="exact"/>
              <w:jc w:val="center"/>
              <w:rPr>
                <w:szCs w:val="21"/>
              </w:rPr>
            </w:pPr>
            <w:r>
              <w:rPr>
                <w:szCs w:val="21"/>
              </w:rPr>
              <w:t>GB 35848—2024</w:t>
            </w:r>
          </w:p>
        </w:tc>
      </w:tr>
      <w:tr w14:paraId="504C3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noWrap w:val="0"/>
            <w:vAlign w:val="center"/>
          </w:tcPr>
          <w:p w14:paraId="766913BA">
            <w:pPr>
              <w:snapToGrid w:val="0"/>
              <w:spacing w:line="300" w:lineRule="exact"/>
              <w:jc w:val="center"/>
              <w:rPr>
                <w:szCs w:val="21"/>
              </w:rPr>
            </w:pPr>
            <w:r>
              <w:rPr>
                <w:szCs w:val="21"/>
              </w:rPr>
              <w:t>8</w:t>
            </w:r>
          </w:p>
        </w:tc>
        <w:tc>
          <w:tcPr>
            <w:tcW w:w="1180" w:type="pct"/>
            <w:vMerge w:val="continue"/>
            <w:noWrap w:val="0"/>
            <w:vAlign w:val="center"/>
          </w:tcPr>
          <w:p w14:paraId="75D62F08">
            <w:pPr>
              <w:spacing w:line="300" w:lineRule="exact"/>
              <w:jc w:val="center"/>
            </w:pPr>
          </w:p>
        </w:tc>
        <w:tc>
          <w:tcPr>
            <w:tcW w:w="2166" w:type="pct"/>
            <w:noWrap w:val="0"/>
            <w:vAlign w:val="center"/>
          </w:tcPr>
          <w:p w14:paraId="12E40BD1">
            <w:pPr>
              <w:spacing w:line="300" w:lineRule="exact"/>
              <w:jc w:val="center"/>
            </w:pPr>
            <w:r>
              <w:rPr>
                <w:szCs w:val="21"/>
              </w:rPr>
              <w:t>干烟气中CO</w:t>
            </w:r>
            <w:r>
              <w:rPr>
                <w:vertAlign w:val="subscript"/>
              </w:rPr>
              <w:t>（α=1）</w:t>
            </w:r>
            <w:r>
              <w:rPr>
                <w:szCs w:val="21"/>
              </w:rPr>
              <w:t>含量</w:t>
            </w:r>
          </w:p>
        </w:tc>
        <w:tc>
          <w:tcPr>
            <w:tcW w:w="1199" w:type="pct"/>
            <w:noWrap w:val="0"/>
            <w:vAlign w:val="center"/>
          </w:tcPr>
          <w:p w14:paraId="4BEE7420">
            <w:pPr>
              <w:snapToGrid w:val="0"/>
              <w:spacing w:line="300" w:lineRule="exact"/>
              <w:jc w:val="center"/>
              <w:rPr>
                <w:szCs w:val="21"/>
              </w:rPr>
            </w:pPr>
            <w:r>
              <w:rPr>
                <w:szCs w:val="21"/>
              </w:rPr>
              <w:t>GB 35848—2024</w:t>
            </w:r>
          </w:p>
        </w:tc>
      </w:tr>
      <w:tr w14:paraId="20D67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noWrap w:val="0"/>
            <w:vAlign w:val="center"/>
          </w:tcPr>
          <w:p w14:paraId="27F08DD0">
            <w:pPr>
              <w:snapToGrid w:val="0"/>
              <w:spacing w:line="300" w:lineRule="exact"/>
              <w:jc w:val="center"/>
              <w:rPr>
                <w:szCs w:val="21"/>
              </w:rPr>
            </w:pPr>
            <w:r>
              <w:rPr>
                <w:szCs w:val="21"/>
              </w:rPr>
              <w:t>9</w:t>
            </w:r>
          </w:p>
        </w:tc>
        <w:tc>
          <w:tcPr>
            <w:tcW w:w="3346" w:type="pct"/>
            <w:gridSpan w:val="2"/>
            <w:noWrap w:val="0"/>
            <w:vAlign w:val="center"/>
          </w:tcPr>
          <w:p w14:paraId="14C8F097">
            <w:pPr>
              <w:spacing w:line="300" w:lineRule="exact"/>
              <w:jc w:val="center"/>
              <w:rPr>
                <w:szCs w:val="21"/>
              </w:rPr>
            </w:pPr>
            <w:r>
              <w:rPr>
                <w:szCs w:val="21"/>
              </w:rPr>
              <w:t>熄火保护装置</w:t>
            </w:r>
          </w:p>
        </w:tc>
        <w:tc>
          <w:tcPr>
            <w:tcW w:w="1199" w:type="pct"/>
            <w:noWrap w:val="0"/>
            <w:vAlign w:val="center"/>
          </w:tcPr>
          <w:p w14:paraId="16883C52">
            <w:pPr>
              <w:snapToGrid w:val="0"/>
              <w:spacing w:line="300" w:lineRule="exact"/>
              <w:jc w:val="center"/>
              <w:rPr>
                <w:szCs w:val="21"/>
              </w:rPr>
            </w:pPr>
            <w:r>
              <w:rPr>
                <w:szCs w:val="21"/>
              </w:rPr>
              <w:t>GB 35848—2024</w:t>
            </w:r>
          </w:p>
        </w:tc>
      </w:tr>
      <w:tr w14:paraId="0F976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noWrap w:val="0"/>
            <w:vAlign w:val="center"/>
          </w:tcPr>
          <w:p w14:paraId="74AD3A40">
            <w:pPr>
              <w:snapToGrid w:val="0"/>
              <w:spacing w:line="300" w:lineRule="exact"/>
              <w:jc w:val="center"/>
              <w:rPr>
                <w:szCs w:val="21"/>
              </w:rPr>
            </w:pPr>
            <w:r>
              <w:rPr>
                <w:szCs w:val="21"/>
              </w:rPr>
              <w:t>10</w:t>
            </w:r>
          </w:p>
        </w:tc>
        <w:tc>
          <w:tcPr>
            <w:tcW w:w="3346" w:type="pct"/>
            <w:gridSpan w:val="2"/>
            <w:noWrap w:val="0"/>
            <w:vAlign w:val="center"/>
          </w:tcPr>
          <w:p w14:paraId="2CCD6A82">
            <w:pPr>
              <w:spacing w:line="300" w:lineRule="exact"/>
              <w:jc w:val="center"/>
              <w:rPr>
                <w:szCs w:val="21"/>
              </w:rPr>
            </w:pPr>
            <w:r>
              <w:rPr>
                <w:szCs w:val="21"/>
              </w:rPr>
              <w:t>能源合理利用</w:t>
            </w:r>
          </w:p>
        </w:tc>
        <w:tc>
          <w:tcPr>
            <w:tcW w:w="1199" w:type="pct"/>
            <w:noWrap w:val="0"/>
            <w:vAlign w:val="center"/>
          </w:tcPr>
          <w:p w14:paraId="5E5CE5A4">
            <w:pPr>
              <w:snapToGrid w:val="0"/>
              <w:spacing w:line="300" w:lineRule="exact"/>
              <w:jc w:val="center"/>
              <w:rPr>
                <w:szCs w:val="21"/>
              </w:rPr>
            </w:pPr>
            <w:r>
              <w:rPr>
                <w:szCs w:val="21"/>
              </w:rPr>
              <w:t>GB 35848—2024</w:t>
            </w:r>
          </w:p>
        </w:tc>
      </w:tr>
      <w:tr w14:paraId="030E7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noWrap w:val="0"/>
            <w:vAlign w:val="center"/>
          </w:tcPr>
          <w:p w14:paraId="48E6B889">
            <w:pPr>
              <w:snapToGrid w:val="0"/>
              <w:spacing w:line="300" w:lineRule="exact"/>
              <w:jc w:val="center"/>
              <w:rPr>
                <w:szCs w:val="21"/>
              </w:rPr>
            </w:pPr>
            <w:r>
              <w:rPr>
                <w:szCs w:val="21"/>
              </w:rPr>
              <w:t>11</w:t>
            </w:r>
          </w:p>
        </w:tc>
        <w:tc>
          <w:tcPr>
            <w:tcW w:w="1180" w:type="pct"/>
            <w:vMerge w:val="restart"/>
            <w:noWrap w:val="0"/>
            <w:vAlign w:val="center"/>
          </w:tcPr>
          <w:p w14:paraId="30C89A7C">
            <w:pPr>
              <w:spacing w:line="300" w:lineRule="exact"/>
              <w:jc w:val="center"/>
              <w:rPr>
                <w:szCs w:val="21"/>
              </w:rPr>
            </w:pPr>
            <w:r>
              <w:rPr>
                <w:szCs w:val="21"/>
              </w:rPr>
              <w:t>电气性能</w:t>
            </w:r>
          </w:p>
        </w:tc>
        <w:tc>
          <w:tcPr>
            <w:tcW w:w="2166" w:type="pct"/>
            <w:noWrap w:val="0"/>
            <w:vAlign w:val="center"/>
          </w:tcPr>
          <w:p w14:paraId="7AC00002">
            <w:pPr>
              <w:spacing w:line="300" w:lineRule="exact"/>
              <w:jc w:val="center"/>
              <w:rPr>
                <w:szCs w:val="21"/>
              </w:rPr>
            </w:pPr>
            <w:r>
              <w:rPr>
                <w:szCs w:val="21"/>
              </w:rPr>
              <w:t>标志</w:t>
            </w:r>
          </w:p>
        </w:tc>
        <w:tc>
          <w:tcPr>
            <w:tcW w:w="1199" w:type="pct"/>
            <w:noWrap w:val="0"/>
            <w:vAlign w:val="center"/>
          </w:tcPr>
          <w:p w14:paraId="03F4716D">
            <w:pPr>
              <w:snapToGrid w:val="0"/>
              <w:spacing w:line="300" w:lineRule="exact"/>
              <w:jc w:val="center"/>
              <w:rPr>
                <w:szCs w:val="21"/>
              </w:rPr>
            </w:pPr>
            <w:r>
              <w:rPr>
                <w:szCs w:val="21"/>
              </w:rPr>
              <w:t>GB 35848—2024</w:t>
            </w:r>
          </w:p>
        </w:tc>
      </w:tr>
      <w:tr w14:paraId="7ECE3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noWrap w:val="0"/>
            <w:vAlign w:val="center"/>
          </w:tcPr>
          <w:p w14:paraId="261DED07">
            <w:pPr>
              <w:snapToGrid w:val="0"/>
              <w:spacing w:line="300" w:lineRule="exact"/>
              <w:jc w:val="center"/>
              <w:rPr>
                <w:szCs w:val="21"/>
              </w:rPr>
            </w:pPr>
            <w:r>
              <w:rPr>
                <w:szCs w:val="21"/>
              </w:rPr>
              <w:t>12</w:t>
            </w:r>
          </w:p>
        </w:tc>
        <w:tc>
          <w:tcPr>
            <w:tcW w:w="1180" w:type="pct"/>
            <w:vMerge w:val="continue"/>
            <w:noWrap w:val="0"/>
            <w:vAlign w:val="center"/>
          </w:tcPr>
          <w:p w14:paraId="6C6EC398">
            <w:pPr>
              <w:spacing w:line="300" w:lineRule="exact"/>
              <w:jc w:val="center"/>
              <w:rPr>
                <w:szCs w:val="21"/>
              </w:rPr>
            </w:pPr>
          </w:p>
        </w:tc>
        <w:tc>
          <w:tcPr>
            <w:tcW w:w="2166" w:type="pct"/>
            <w:noWrap w:val="0"/>
            <w:vAlign w:val="center"/>
          </w:tcPr>
          <w:p w14:paraId="43E841CE">
            <w:pPr>
              <w:spacing w:line="300" w:lineRule="exact"/>
              <w:jc w:val="center"/>
              <w:rPr>
                <w:szCs w:val="21"/>
              </w:rPr>
            </w:pPr>
            <w:r>
              <w:rPr>
                <w:szCs w:val="21"/>
              </w:rPr>
              <w:t>接地措施</w:t>
            </w:r>
          </w:p>
        </w:tc>
        <w:tc>
          <w:tcPr>
            <w:tcW w:w="1199" w:type="pct"/>
            <w:noWrap w:val="0"/>
            <w:vAlign w:val="center"/>
          </w:tcPr>
          <w:p w14:paraId="1AF54918">
            <w:pPr>
              <w:snapToGrid w:val="0"/>
              <w:spacing w:line="300" w:lineRule="exact"/>
              <w:jc w:val="center"/>
              <w:rPr>
                <w:szCs w:val="21"/>
              </w:rPr>
            </w:pPr>
            <w:r>
              <w:rPr>
                <w:szCs w:val="21"/>
              </w:rPr>
              <w:t>GB 35848—2024</w:t>
            </w:r>
          </w:p>
        </w:tc>
      </w:tr>
      <w:tr w14:paraId="46AF1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5" w:type="pct"/>
            <w:noWrap w:val="0"/>
            <w:vAlign w:val="center"/>
          </w:tcPr>
          <w:p w14:paraId="7613E87D">
            <w:pPr>
              <w:snapToGrid w:val="0"/>
              <w:spacing w:line="300" w:lineRule="exact"/>
              <w:jc w:val="center"/>
              <w:rPr>
                <w:szCs w:val="21"/>
              </w:rPr>
            </w:pPr>
            <w:r>
              <w:rPr>
                <w:szCs w:val="21"/>
              </w:rPr>
              <w:t>13</w:t>
            </w:r>
          </w:p>
        </w:tc>
        <w:tc>
          <w:tcPr>
            <w:tcW w:w="1180" w:type="pct"/>
            <w:vMerge w:val="continue"/>
            <w:noWrap w:val="0"/>
            <w:vAlign w:val="center"/>
          </w:tcPr>
          <w:p w14:paraId="63EC1253">
            <w:pPr>
              <w:spacing w:line="300" w:lineRule="exact"/>
              <w:jc w:val="center"/>
              <w:rPr>
                <w:szCs w:val="21"/>
              </w:rPr>
            </w:pPr>
          </w:p>
        </w:tc>
        <w:tc>
          <w:tcPr>
            <w:tcW w:w="2166" w:type="pct"/>
            <w:noWrap w:val="0"/>
            <w:vAlign w:val="center"/>
          </w:tcPr>
          <w:p w14:paraId="0675211C">
            <w:pPr>
              <w:spacing w:line="300" w:lineRule="exact"/>
              <w:jc w:val="center"/>
              <w:rPr>
                <w:szCs w:val="21"/>
              </w:rPr>
            </w:pPr>
            <w:r>
              <w:rPr>
                <w:szCs w:val="21"/>
              </w:rPr>
              <w:t>工作温度下的泄漏电流和电气强度</w:t>
            </w:r>
          </w:p>
        </w:tc>
        <w:tc>
          <w:tcPr>
            <w:tcW w:w="1199" w:type="pct"/>
            <w:noWrap w:val="0"/>
            <w:vAlign w:val="center"/>
          </w:tcPr>
          <w:p w14:paraId="00BEC7FB">
            <w:pPr>
              <w:snapToGrid w:val="0"/>
              <w:spacing w:line="300" w:lineRule="exact"/>
              <w:jc w:val="center"/>
              <w:rPr>
                <w:szCs w:val="21"/>
              </w:rPr>
            </w:pPr>
            <w:r>
              <w:rPr>
                <w:szCs w:val="21"/>
              </w:rPr>
              <w:t>GB 35848—2024</w:t>
            </w:r>
          </w:p>
        </w:tc>
      </w:tr>
      <w:tr w14:paraId="3ECCF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5000" w:type="pct"/>
            <w:gridSpan w:val="4"/>
            <w:noWrap w:val="0"/>
            <w:vAlign w:val="top"/>
          </w:tcPr>
          <w:p w14:paraId="29DA7CD5">
            <w:pPr>
              <w:snapToGrid w:val="0"/>
              <w:spacing w:line="300" w:lineRule="exact"/>
              <w:rPr>
                <w:szCs w:val="21"/>
              </w:rPr>
            </w:pPr>
            <w:r>
              <w:rPr>
                <w:szCs w:val="21"/>
              </w:rPr>
              <w:t>注：1. “通用结构—一般要求”的检验项目为GB 35848—2024中5.2.1.13；</w:t>
            </w:r>
          </w:p>
          <w:p w14:paraId="00293AD0">
            <w:pPr>
              <w:snapToGrid w:val="0"/>
              <w:spacing w:line="300" w:lineRule="exact"/>
              <w:ind w:firstLine="420" w:firstLineChars="200"/>
              <w:rPr>
                <w:szCs w:val="21"/>
              </w:rPr>
            </w:pPr>
            <w:r>
              <w:rPr>
                <w:szCs w:val="21"/>
              </w:rPr>
              <w:t>2. “通用结构—电气系统”的检验项目为GB 35848—2024中5.2.4.5；</w:t>
            </w:r>
          </w:p>
          <w:p w14:paraId="13FBF74A">
            <w:pPr>
              <w:snapToGrid w:val="0"/>
              <w:spacing w:line="300" w:lineRule="exact"/>
              <w:ind w:firstLine="420" w:firstLineChars="200"/>
              <w:rPr>
                <w:szCs w:val="21"/>
              </w:rPr>
            </w:pPr>
            <w:r>
              <w:rPr>
                <w:szCs w:val="21"/>
              </w:rPr>
              <w:t>3. “燃气系统零部件—一般要求” 的检验项目为GB 35848—2024中5.3.1.15；</w:t>
            </w:r>
          </w:p>
          <w:p w14:paraId="0068E164">
            <w:pPr>
              <w:snapToGrid w:val="0"/>
              <w:spacing w:line="300" w:lineRule="exact"/>
              <w:ind w:firstLine="420" w:firstLineChars="200"/>
            </w:pPr>
            <w:r>
              <w:rPr>
                <w:szCs w:val="21"/>
              </w:rPr>
              <w:t>4. “熄火保护装置”的检验项目为GB 35848—2024中5.5.5。</w:t>
            </w:r>
          </w:p>
        </w:tc>
      </w:tr>
    </w:tbl>
    <w:p w14:paraId="08283355">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0CFEA503">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04880E09">
      <w:pPr>
        <w:snapToGrid w:val="0"/>
        <w:spacing w:line="440" w:lineRule="exact"/>
        <w:ind w:firstLine="359" w:firstLineChars="171"/>
        <w:rPr>
          <w:color w:val="000000"/>
          <w:szCs w:val="21"/>
        </w:rPr>
      </w:pPr>
    </w:p>
    <w:p w14:paraId="0461D529">
      <w:pPr>
        <w:spacing w:line="440" w:lineRule="exact"/>
        <w:rPr>
          <w:rFonts w:eastAsia="黑体"/>
          <w:color w:val="000000"/>
          <w:szCs w:val="21"/>
        </w:rPr>
      </w:pPr>
      <w:r>
        <w:rPr>
          <w:rFonts w:eastAsia="黑体"/>
          <w:color w:val="000000"/>
          <w:szCs w:val="21"/>
        </w:rPr>
        <w:t>3 判定规则</w:t>
      </w:r>
    </w:p>
    <w:p w14:paraId="426F7608">
      <w:pPr>
        <w:snapToGrid w:val="0"/>
        <w:spacing w:line="440" w:lineRule="exact"/>
        <w:rPr>
          <w:color w:val="000000"/>
          <w:szCs w:val="21"/>
        </w:rPr>
      </w:pPr>
      <w:r>
        <w:rPr>
          <w:color w:val="000000"/>
          <w:szCs w:val="21"/>
        </w:rPr>
        <w:t>3.1依据标准</w:t>
      </w:r>
    </w:p>
    <w:p w14:paraId="2D9739C7">
      <w:pPr>
        <w:snapToGrid w:val="0"/>
        <w:spacing w:line="440" w:lineRule="exact"/>
        <w:ind w:firstLine="420" w:firstLineChars="200"/>
        <w:rPr>
          <w:color w:val="000000"/>
          <w:szCs w:val="21"/>
        </w:rPr>
      </w:pPr>
      <w:r>
        <w:rPr>
          <w:color w:val="000000"/>
          <w:szCs w:val="21"/>
        </w:rPr>
        <w:t>GB 35848—2024 商用燃气燃烧器具</w:t>
      </w:r>
    </w:p>
    <w:p w14:paraId="3B344420">
      <w:pPr>
        <w:snapToGrid w:val="0"/>
        <w:spacing w:line="440" w:lineRule="exact"/>
        <w:ind w:firstLine="359" w:firstLineChars="171"/>
        <w:rPr>
          <w:color w:val="000000"/>
          <w:szCs w:val="21"/>
        </w:rPr>
      </w:pPr>
      <w:r>
        <w:rPr>
          <w:color w:val="000000"/>
          <w:szCs w:val="21"/>
        </w:rPr>
        <w:t>现行有效的企业标准、团体标准、地方标准及产品明示质量要求</w:t>
      </w:r>
    </w:p>
    <w:p w14:paraId="1CB02617">
      <w:pPr>
        <w:snapToGrid w:val="0"/>
        <w:spacing w:line="440" w:lineRule="exact"/>
        <w:rPr>
          <w:color w:val="000000"/>
          <w:szCs w:val="21"/>
        </w:rPr>
      </w:pPr>
      <w:r>
        <w:rPr>
          <w:color w:val="000000"/>
          <w:szCs w:val="21"/>
        </w:rPr>
        <w:t>3.2判定原则</w:t>
      </w:r>
    </w:p>
    <w:p w14:paraId="6E26ADF3">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58A7A0EA">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79BAFFF4">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68E51812">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0B7D0642">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1B8CAEC">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0FE7264C">
      <w:pPr>
        <w:snapToGrid w:val="0"/>
        <w:spacing w:line="440" w:lineRule="exact"/>
        <w:ind w:firstLine="417" w:firstLineChars="199"/>
        <w:rPr>
          <w:color w:val="000000"/>
          <w:szCs w:val="21"/>
        </w:rPr>
      </w:pPr>
    </w:p>
    <w:p w14:paraId="34B6E041">
      <w:pPr>
        <w:snapToGrid w:val="0"/>
        <w:spacing w:line="440" w:lineRule="exact"/>
        <w:ind w:firstLine="417" w:firstLineChars="199"/>
        <w:rPr>
          <w:szCs w:val="21"/>
        </w:rPr>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0DE70">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0D1EB610">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FE0B2">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14:paraId="3189478D">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5BB17">
    <w:pPr>
      <w:pStyle w:val="5"/>
      <w:rPr>
        <w:rFonts w:hint="default" w:eastAsia="宋体"/>
        <w:sz w:val="21"/>
        <w:szCs w:val="21"/>
        <w:lang w:val="en-US" w:eastAsia="zh-CN"/>
      </w:rPr>
    </w:pPr>
    <w:r>
      <w:rPr>
        <w:rFonts w:hint="eastAsia"/>
        <w:sz w:val="21"/>
        <w:szCs w:val="21"/>
      </w:rPr>
      <w:t>榕市监消则(202</w:t>
    </w:r>
    <w:r>
      <w:rPr>
        <w:rFonts w:hint="eastAsia"/>
        <w:sz w:val="21"/>
        <w:szCs w:val="21"/>
        <w:lang w:val="en-US" w:eastAsia="zh-CN"/>
      </w:rPr>
      <w:t>6</w:t>
    </w:r>
    <w:r>
      <w:rPr>
        <w:rFonts w:hint="eastAsia"/>
        <w:sz w:val="21"/>
        <w:szCs w:val="21"/>
      </w:rPr>
      <w:t>)-0</w:t>
    </w:r>
    <w:r>
      <w:rPr>
        <w:rFonts w:hint="eastAsia"/>
        <w:sz w:val="21"/>
        <w:szCs w:val="21"/>
        <w:lang w:val="en-US" w:eastAsia="zh-CN"/>
      </w:rPr>
      <w:t>03</w:t>
    </w:r>
  </w:p>
  <w:p w14:paraId="4785138A">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g4OTg1NmNkMjkyNzk2OWIxODU2Nzg5ODExMzMzMzIifQ=="/>
  </w:docVars>
  <w:rsids>
    <w:rsidRoot w:val="00172A27"/>
    <w:rsid w:val="0000686D"/>
    <w:rsid w:val="00017DBC"/>
    <w:rsid w:val="00051A44"/>
    <w:rsid w:val="00057689"/>
    <w:rsid w:val="00081CBD"/>
    <w:rsid w:val="000976DE"/>
    <w:rsid w:val="000A420C"/>
    <w:rsid w:val="001451F4"/>
    <w:rsid w:val="0016794F"/>
    <w:rsid w:val="00172A27"/>
    <w:rsid w:val="001809DD"/>
    <w:rsid w:val="001C47AC"/>
    <w:rsid w:val="001F5594"/>
    <w:rsid w:val="00234549"/>
    <w:rsid w:val="00247C1F"/>
    <w:rsid w:val="00253624"/>
    <w:rsid w:val="002B0318"/>
    <w:rsid w:val="002C0C2E"/>
    <w:rsid w:val="002D7F8A"/>
    <w:rsid w:val="002E0D1D"/>
    <w:rsid w:val="00304F89"/>
    <w:rsid w:val="0031535E"/>
    <w:rsid w:val="00317066"/>
    <w:rsid w:val="003203A3"/>
    <w:rsid w:val="003446C2"/>
    <w:rsid w:val="00350620"/>
    <w:rsid w:val="0036169E"/>
    <w:rsid w:val="00392BC0"/>
    <w:rsid w:val="003A10BC"/>
    <w:rsid w:val="003C388C"/>
    <w:rsid w:val="003D0718"/>
    <w:rsid w:val="003E61BF"/>
    <w:rsid w:val="003F5271"/>
    <w:rsid w:val="00405195"/>
    <w:rsid w:val="004218A4"/>
    <w:rsid w:val="00445E86"/>
    <w:rsid w:val="00463084"/>
    <w:rsid w:val="00474E04"/>
    <w:rsid w:val="004D0C5A"/>
    <w:rsid w:val="004E1396"/>
    <w:rsid w:val="0053585E"/>
    <w:rsid w:val="00555584"/>
    <w:rsid w:val="00563EBC"/>
    <w:rsid w:val="005A46FD"/>
    <w:rsid w:val="005B279B"/>
    <w:rsid w:val="005B3D2C"/>
    <w:rsid w:val="005C64A5"/>
    <w:rsid w:val="005F1BB8"/>
    <w:rsid w:val="00626821"/>
    <w:rsid w:val="006268AE"/>
    <w:rsid w:val="00632B48"/>
    <w:rsid w:val="0064283F"/>
    <w:rsid w:val="00666A3E"/>
    <w:rsid w:val="00677D63"/>
    <w:rsid w:val="00686365"/>
    <w:rsid w:val="006C1927"/>
    <w:rsid w:val="006D7C95"/>
    <w:rsid w:val="006F0971"/>
    <w:rsid w:val="007045AA"/>
    <w:rsid w:val="0072334C"/>
    <w:rsid w:val="00732580"/>
    <w:rsid w:val="00750E96"/>
    <w:rsid w:val="00772108"/>
    <w:rsid w:val="007C369E"/>
    <w:rsid w:val="007D54F6"/>
    <w:rsid w:val="007D6DB9"/>
    <w:rsid w:val="007F219E"/>
    <w:rsid w:val="00814C87"/>
    <w:rsid w:val="00840F89"/>
    <w:rsid w:val="00844720"/>
    <w:rsid w:val="0085578A"/>
    <w:rsid w:val="00861873"/>
    <w:rsid w:val="00865957"/>
    <w:rsid w:val="0087208E"/>
    <w:rsid w:val="00895BEA"/>
    <w:rsid w:val="008A3497"/>
    <w:rsid w:val="008A65EC"/>
    <w:rsid w:val="008D7CA7"/>
    <w:rsid w:val="008E19A5"/>
    <w:rsid w:val="00917A54"/>
    <w:rsid w:val="00962E08"/>
    <w:rsid w:val="00992C28"/>
    <w:rsid w:val="009A0B79"/>
    <w:rsid w:val="009A1BAB"/>
    <w:rsid w:val="009F6F6C"/>
    <w:rsid w:val="00A10ECA"/>
    <w:rsid w:val="00A24A8E"/>
    <w:rsid w:val="00A43553"/>
    <w:rsid w:val="00A47C0F"/>
    <w:rsid w:val="00A617C7"/>
    <w:rsid w:val="00A83D8B"/>
    <w:rsid w:val="00AD2C57"/>
    <w:rsid w:val="00AF3303"/>
    <w:rsid w:val="00B13652"/>
    <w:rsid w:val="00BF6CE3"/>
    <w:rsid w:val="00C26074"/>
    <w:rsid w:val="00C50ECC"/>
    <w:rsid w:val="00C64003"/>
    <w:rsid w:val="00C7182B"/>
    <w:rsid w:val="00C80AF7"/>
    <w:rsid w:val="00C83B0A"/>
    <w:rsid w:val="00CA2252"/>
    <w:rsid w:val="00CE1E0C"/>
    <w:rsid w:val="00CE277E"/>
    <w:rsid w:val="00CF271B"/>
    <w:rsid w:val="00D4084D"/>
    <w:rsid w:val="00D56867"/>
    <w:rsid w:val="00D674B7"/>
    <w:rsid w:val="00DA5CFC"/>
    <w:rsid w:val="00DD10B7"/>
    <w:rsid w:val="00DD27E3"/>
    <w:rsid w:val="00DE3698"/>
    <w:rsid w:val="00DF5B19"/>
    <w:rsid w:val="00E02A7F"/>
    <w:rsid w:val="00E07880"/>
    <w:rsid w:val="00E42DE9"/>
    <w:rsid w:val="00E82621"/>
    <w:rsid w:val="00EC5208"/>
    <w:rsid w:val="00EF3CDC"/>
    <w:rsid w:val="00EF7661"/>
    <w:rsid w:val="00EF7945"/>
    <w:rsid w:val="00F036AE"/>
    <w:rsid w:val="00F21D96"/>
    <w:rsid w:val="00F25B26"/>
    <w:rsid w:val="00F51494"/>
    <w:rsid w:val="00F549E9"/>
    <w:rsid w:val="00F77C9A"/>
    <w:rsid w:val="00F93F3B"/>
    <w:rsid w:val="00FB3C51"/>
    <w:rsid w:val="00FB576C"/>
    <w:rsid w:val="00FC666D"/>
    <w:rsid w:val="00FD2AA6"/>
    <w:rsid w:val="00FE1233"/>
    <w:rsid w:val="00FE7E8A"/>
    <w:rsid w:val="01C23809"/>
    <w:rsid w:val="034A70C0"/>
    <w:rsid w:val="04D91DBD"/>
    <w:rsid w:val="130F0A5E"/>
    <w:rsid w:val="152D02D1"/>
    <w:rsid w:val="174D31CB"/>
    <w:rsid w:val="17FE10A9"/>
    <w:rsid w:val="1A661698"/>
    <w:rsid w:val="1B375EA8"/>
    <w:rsid w:val="1FD0606D"/>
    <w:rsid w:val="28B900C3"/>
    <w:rsid w:val="2E5C0A51"/>
    <w:rsid w:val="306C0230"/>
    <w:rsid w:val="32405A0E"/>
    <w:rsid w:val="32F04CDF"/>
    <w:rsid w:val="38595FB1"/>
    <w:rsid w:val="38992931"/>
    <w:rsid w:val="38A54984"/>
    <w:rsid w:val="39BD36E4"/>
    <w:rsid w:val="39BD5228"/>
    <w:rsid w:val="3FBA1533"/>
    <w:rsid w:val="405E1546"/>
    <w:rsid w:val="40B470AC"/>
    <w:rsid w:val="4BDD004F"/>
    <w:rsid w:val="551574C9"/>
    <w:rsid w:val="5BF838F4"/>
    <w:rsid w:val="5C8F3D39"/>
    <w:rsid w:val="60584835"/>
    <w:rsid w:val="695F3E4D"/>
    <w:rsid w:val="6AA80737"/>
    <w:rsid w:val="6D275504"/>
    <w:rsid w:val="745C56B8"/>
    <w:rsid w:val="764434F1"/>
    <w:rsid w:val="7D967064"/>
    <w:rsid w:val="7DD47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9"/>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批注框文本 Char"/>
    <w:link w:val="3"/>
    <w:semiHidden/>
    <w:qFormat/>
    <w:uiPriority w:val="99"/>
    <w:rPr>
      <w:kern w:val="2"/>
      <w:sz w:val="18"/>
      <w:szCs w:val="18"/>
    </w:rPr>
  </w:style>
  <w:style w:type="character" w:customStyle="1" w:styleId="10">
    <w:name w:val="页脚 Char"/>
    <w:link w:val="4"/>
    <w:qFormat/>
    <w:uiPriority w:val="99"/>
    <w:rPr>
      <w:kern w:val="2"/>
      <w:sz w:val="18"/>
      <w:szCs w:val="18"/>
    </w:rPr>
  </w:style>
  <w:style w:type="character" w:customStyle="1" w:styleId="11">
    <w:name w:val="页眉 Char"/>
    <w:link w:val="5"/>
    <w:qFormat/>
    <w:uiPriority w:val="99"/>
    <w:rPr>
      <w:kern w:val="2"/>
      <w:sz w:val="18"/>
      <w:szCs w:val="18"/>
    </w:rPr>
  </w:style>
  <w:style w:type="paragraph" w:customStyle="1" w:styleId="12">
    <w:name w:val="列出段落1"/>
    <w:basedOn w:val="1"/>
    <w:qFormat/>
    <w:uiPriority w:val="34"/>
    <w:pPr>
      <w:ind w:firstLine="420" w:firstLineChars="200"/>
    </w:pPr>
    <w:rPr>
      <w:rFonts w:ascii="Calibri" w:hAnsi="Calibri"/>
      <w:szCs w:val="22"/>
    </w:rPr>
  </w:style>
  <w:style w:type="paragraph" w:customStyle="1" w:styleId="13">
    <w:name w:val="Revisio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A73FB-96DE-4183-95DA-16988E228030}">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788</Words>
  <Characters>1010</Characters>
  <Lines>7</Lines>
  <Paragraphs>2</Paragraphs>
  <TotalTime>0</TotalTime>
  <ScaleCrop>false</ScaleCrop>
  <LinksUpToDate>false</LinksUpToDate>
  <CharactersWithSpaces>1037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2024-04-15T03:12:00Z</dcterms:created>
  <dc:creator>Legend User</dc:creator>
  <cp:lastModifiedBy>巍</cp:lastModifiedBy>
  <cp:lastPrinted>2022-05-16T00:39:00Z</cp:lastPrinted>
  <dcterms:modified xsi:type="dcterms:W3CDTF">2026-04-02T01:50:39Z</dcterms:modified>
  <dc:title>××产品质量监督抽查实施细则</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530CB7C7956740DA8D69631E57F0B6F0_12</vt:lpwstr>
  </property>
  <property fmtid="{D5CDD505-2E9C-101B-9397-08002B2CF9AE}" pid="4" name="KSOTemplateDocerSaveRecord">
    <vt:lpwstr>eyJoZGlkIjoiZTAzNGRmODY5YzIzNmEyZThmNzgxYmI3YmI4NTI0MTgiLCJ1c2VySWQiOiIzMTk5NjQxNTQifQ==</vt:lpwstr>
  </property>
</Properties>
</file>